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4DEC4" w14:textId="11146948" w:rsidR="00335E68" w:rsidRDefault="00335E68" w:rsidP="0055284A">
      <w:pPr>
        <w:jc w:val="center"/>
        <w:rPr>
          <w:rFonts w:eastAsia="Calibri"/>
          <w:b/>
          <w:lang w:eastAsia="en-US"/>
        </w:rPr>
      </w:pPr>
      <w:bookmarkStart w:id="0" w:name="_Toc10475938"/>
      <w:bookmarkStart w:id="1" w:name="_Toc462991398"/>
      <w:bookmarkStart w:id="2" w:name="_Toc30423110"/>
      <w:bookmarkStart w:id="3" w:name="_Toc374959465"/>
      <w:bookmarkStart w:id="4" w:name="_Toc21353983"/>
      <w:bookmarkStart w:id="5" w:name="_Toc464717081"/>
      <w:bookmarkStart w:id="6" w:name="_Toc27561634"/>
      <w:bookmarkStart w:id="7" w:name="_Toc89077867"/>
      <w:r>
        <w:rPr>
          <w:rFonts w:eastAsia="Calibri"/>
          <w:b/>
          <w:lang w:eastAsia="en-US"/>
        </w:rPr>
        <w:t>3</w:t>
      </w:r>
      <w:r w:rsidRPr="00335E68">
        <w:rPr>
          <w:rFonts w:eastAsia="Calibri"/>
          <w:b/>
          <w:lang w:eastAsia="en-US"/>
        </w:rPr>
        <w:t xml:space="preserve">.sz. melléklet – </w:t>
      </w:r>
      <w:r w:rsidR="00651BE1">
        <w:rPr>
          <w:rFonts w:eastAsia="Calibri"/>
          <w:b/>
          <w:lang w:eastAsia="en-US"/>
        </w:rPr>
        <w:t>6</w:t>
      </w:r>
      <w:r w:rsidRPr="00335E68">
        <w:rPr>
          <w:rFonts w:eastAsia="Calibri"/>
          <w:b/>
          <w:lang w:eastAsia="en-US"/>
        </w:rPr>
        <w:t>/202</w:t>
      </w:r>
      <w:r w:rsidR="00737FF1">
        <w:rPr>
          <w:rFonts w:eastAsia="Calibri"/>
          <w:b/>
          <w:lang w:eastAsia="en-US"/>
        </w:rPr>
        <w:t>6</w:t>
      </w:r>
      <w:r w:rsidRPr="00335E68">
        <w:rPr>
          <w:rFonts w:eastAsia="Calibri"/>
          <w:b/>
          <w:lang w:eastAsia="en-US"/>
        </w:rPr>
        <w:t>. vezérigazgatói utasítás</w:t>
      </w:r>
      <w:bookmarkEnd w:id="0"/>
      <w:bookmarkEnd w:id="1"/>
      <w:bookmarkEnd w:id="2"/>
    </w:p>
    <w:p w14:paraId="7E1BB3C4" w14:textId="77777777" w:rsidR="00CA48BF" w:rsidRPr="00335E68" w:rsidRDefault="00CA48BF" w:rsidP="0055284A">
      <w:pPr>
        <w:jc w:val="center"/>
        <w:rPr>
          <w:rFonts w:eastAsia="Calibri"/>
          <w:b/>
          <w:lang w:eastAsia="en-US"/>
        </w:rPr>
      </w:pPr>
    </w:p>
    <w:p w14:paraId="4482FC0A" w14:textId="77777777" w:rsidR="00335E68" w:rsidRPr="00335E68" w:rsidRDefault="00335E68" w:rsidP="0055284A">
      <w:pPr>
        <w:jc w:val="center"/>
        <w:rPr>
          <w:b/>
          <w:lang w:eastAsia="en-US"/>
        </w:rPr>
      </w:pPr>
      <w:r>
        <w:rPr>
          <w:b/>
          <w:lang w:eastAsia="en-US"/>
        </w:rPr>
        <w:t>Tájékoztató közérdekű adatigénylés módjáról</w:t>
      </w:r>
    </w:p>
    <w:p w14:paraId="700BE8C4" w14:textId="77777777" w:rsidR="00335E68" w:rsidRDefault="00335E68" w:rsidP="0055284A">
      <w:pPr>
        <w:ind w:left="720" w:hanging="360"/>
        <w:jc w:val="both"/>
      </w:pPr>
    </w:p>
    <w:bookmarkEnd w:id="3"/>
    <w:bookmarkEnd w:id="4"/>
    <w:bookmarkEnd w:id="5"/>
    <w:bookmarkEnd w:id="6"/>
    <w:bookmarkEnd w:id="7"/>
    <w:p w14:paraId="13ED9EF1" w14:textId="77777777" w:rsidR="00876352" w:rsidRDefault="00667FD7" w:rsidP="0055284A">
      <w:pPr>
        <w:jc w:val="both"/>
      </w:pPr>
      <w:r>
        <w:t xml:space="preserve">Jelen tájékoztató célja, hogy </w:t>
      </w:r>
      <w:r w:rsidR="00876352">
        <w:t xml:space="preserve">a </w:t>
      </w:r>
      <w:r w:rsidR="00335E68">
        <w:t>Garantiqa Hitelgarancia Zártkörűen Működő Részvénytársaság</w:t>
      </w:r>
      <w:r w:rsidR="0055284A">
        <w:t xml:space="preserve"> (a továbbiakban: Garantiqa) </w:t>
      </w:r>
      <w:r w:rsidR="00876352">
        <w:t xml:space="preserve">kezelésében lévő közérdekű vagy közérdekből nyilvános adatok igénylésének módjáról tájékoztatást nyújtson. </w:t>
      </w:r>
    </w:p>
    <w:p w14:paraId="1DF74138" w14:textId="77777777" w:rsidR="00876352" w:rsidRDefault="00876352" w:rsidP="0055284A">
      <w:pPr>
        <w:jc w:val="both"/>
      </w:pPr>
    </w:p>
    <w:p w14:paraId="318DC7A1" w14:textId="77777777" w:rsidR="00876352" w:rsidRDefault="00876352" w:rsidP="0055284A">
      <w:pPr>
        <w:jc w:val="both"/>
      </w:pPr>
      <w:r>
        <w:t>A Garantiqa saját honlapján (</w:t>
      </w:r>
      <w:hyperlink r:id="rId7" w:history="1">
        <w:r w:rsidRPr="00C154B3">
          <w:rPr>
            <w:rStyle w:val="Hiperhivatkozs"/>
          </w:rPr>
          <w:t>www.garantiqa.hu</w:t>
        </w:r>
      </w:hyperlink>
      <w:r>
        <w:t xml:space="preserve">) teszi közzé az információs önrendelkezési jogról és az információszabadságról szóló 2011. évi CXII. törvény rendelkezései alapján közzéteendő közérdekű adatokat. </w:t>
      </w:r>
    </w:p>
    <w:p w14:paraId="27302D80" w14:textId="77777777" w:rsidR="00876352" w:rsidRDefault="00876352" w:rsidP="0055284A">
      <w:pPr>
        <w:jc w:val="both"/>
      </w:pPr>
    </w:p>
    <w:p w14:paraId="7E4E624F" w14:textId="77777777" w:rsidR="00876352" w:rsidRDefault="00876352" w:rsidP="0055284A">
      <w:pPr>
        <w:jc w:val="both"/>
      </w:pPr>
      <w:r>
        <w:t>A közérdekű vagy közérdekből nyilvános adatok megismerése iránt szóban, írásban vagy elektronikus úton bárki igényt nyújthat be.</w:t>
      </w:r>
    </w:p>
    <w:p w14:paraId="201E7699" w14:textId="77777777" w:rsidR="00335E68" w:rsidRDefault="00335E68" w:rsidP="0055284A">
      <w:pPr>
        <w:jc w:val="both"/>
      </w:pPr>
    </w:p>
    <w:p w14:paraId="4BB895D6" w14:textId="77777777" w:rsidR="003E3DC1" w:rsidRDefault="003E3DC1" w:rsidP="0055284A">
      <w:pPr>
        <w:pStyle w:val="Cmsor1"/>
        <w:spacing w:before="0"/>
        <w:rPr>
          <w:rFonts w:ascii="Times New Roman" w:hAnsi="Times New Roman" w:cs="Times New Roman"/>
          <w:b/>
          <w:color w:val="auto"/>
          <w:sz w:val="24"/>
        </w:rPr>
      </w:pPr>
      <w:r w:rsidRPr="003E3DC1">
        <w:rPr>
          <w:rFonts w:ascii="Times New Roman" w:hAnsi="Times New Roman" w:cs="Times New Roman"/>
          <w:b/>
          <w:color w:val="auto"/>
          <w:sz w:val="24"/>
        </w:rPr>
        <w:t>Közérdekű adatigénylés benyújtásának módja</w:t>
      </w:r>
    </w:p>
    <w:p w14:paraId="03590CCF" w14:textId="77777777" w:rsidR="003E3DC1" w:rsidRPr="003E3DC1" w:rsidRDefault="003E3DC1" w:rsidP="0055284A"/>
    <w:p w14:paraId="0A4D216B" w14:textId="77777777" w:rsidR="00335E68" w:rsidRDefault="00335E68" w:rsidP="0055284A">
      <w:pPr>
        <w:jc w:val="both"/>
      </w:pPr>
      <w:r>
        <w:t>A közérdekű vagy közérdekből nyilvános adat megismerésére irányuló igények benyújtásának módja:</w:t>
      </w:r>
    </w:p>
    <w:p w14:paraId="4C07AC89" w14:textId="77777777" w:rsidR="00335E68" w:rsidRDefault="00335E68" w:rsidP="0055284A">
      <w:pPr>
        <w:jc w:val="both"/>
      </w:pPr>
    </w:p>
    <w:p w14:paraId="5D72D31E" w14:textId="77777777" w:rsidR="00335E68" w:rsidRDefault="00335E68" w:rsidP="0055284A">
      <w:pPr>
        <w:pStyle w:val="Listaszerbekezds"/>
        <w:numPr>
          <w:ilvl w:val="0"/>
          <w:numId w:val="4"/>
        </w:numPr>
        <w:jc w:val="both"/>
      </w:pPr>
      <w:r>
        <w:t>Postai úton:</w:t>
      </w:r>
    </w:p>
    <w:p w14:paraId="191A0D74" w14:textId="77777777" w:rsidR="00FE459C" w:rsidRDefault="00FE459C" w:rsidP="0055284A">
      <w:pPr>
        <w:pStyle w:val="Listaszerbekezds"/>
        <w:jc w:val="both"/>
      </w:pPr>
    </w:p>
    <w:p w14:paraId="1782CFAB" w14:textId="77777777" w:rsidR="00335E68" w:rsidRDefault="00335E68" w:rsidP="0055284A">
      <w:pPr>
        <w:ind w:firstLine="360"/>
        <w:jc w:val="both"/>
      </w:pPr>
      <w:r>
        <w:t>Garantiqa Hitelgarancia Zrt.</w:t>
      </w:r>
    </w:p>
    <w:p w14:paraId="10659343" w14:textId="77777777" w:rsidR="00335E68" w:rsidRDefault="00335E68" w:rsidP="0055284A">
      <w:pPr>
        <w:ind w:firstLine="360"/>
        <w:jc w:val="both"/>
      </w:pPr>
      <w:r>
        <w:t xml:space="preserve">1082 Budapest, Kisfaludy utca 32. </w:t>
      </w:r>
    </w:p>
    <w:p w14:paraId="23CF3766" w14:textId="77777777" w:rsidR="00FE459C" w:rsidRDefault="00FE459C" w:rsidP="0055284A">
      <w:pPr>
        <w:ind w:firstLine="360"/>
        <w:jc w:val="both"/>
      </w:pPr>
    </w:p>
    <w:p w14:paraId="5F8D1786" w14:textId="77777777" w:rsidR="00335E68" w:rsidRDefault="00FE459C" w:rsidP="0055284A">
      <w:pPr>
        <w:ind w:left="360"/>
        <w:jc w:val="both"/>
      </w:pPr>
      <w:r>
        <w:t>A postai úton benyújtott adatigénylés esetén kérjük, hogy a borítékon szíveskedjen feltüntetni a „közérdekű adatigénylés” kifejezést.</w:t>
      </w:r>
    </w:p>
    <w:p w14:paraId="42CC56DB" w14:textId="77777777" w:rsidR="00FE459C" w:rsidRDefault="00FE459C" w:rsidP="0055284A">
      <w:pPr>
        <w:ind w:left="360"/>
        <w:jc w:val="both"/>
      </w:pPr>
    </w:p>
    <w:p w14:paraId="342CEDF8" w14:textId="77777777" w:rsidR="00335E68" w:rsidRDefault="00335E68" w:rsidP="0055284A">
      <w:pPr>
        <w:pStyle w:val="Listaszerbekezds"/>
        <w:numPr>
          <w:ilvl w:val="0"/>
          <w:numId w:val="4"/>
        </w:numPr>
        <w:jc w:val="both"/>
      </w:pPr>
      <w:r>
        <w:t>Elektronikus úton:</w:t>
      </w:r>
    </w:p>
    <w:p w14:paraId="3AB217D7" w14:textId="77777777" w:rsidR="00615CF5" w:rsidRDefault="00615CF5" w:rsidP="00615CF5">
      <w:pPr>
        <w:ind w:left="360"/>
        <w:jc w:val="both"/>
      </w:pPr>
    </w:p>
    <w:p w14:paraId="5D49574A" w14:textId="77777777" w:rsidR="00615CF5" w:rsidRDefault="00651BE1" w:rsidP="00615CF5">
      <w:pPr>
        <w:ind w:left="360"/>
        <w:jc w:val="both"/>
      </w:pPr>
      <w:hyperlink r:id="rId8" w:history="1">
        <w:r w:rsidR="00615CF5" w:rsidRPr="008C05F8">
          <w:rPr>
            <w:rStyle w:val="Hiperhivatkozs"/>
          </w:rPr>
          <w:t>info@garantiqa.hu</w:t>
        </w:r>
      </w:hyperlink>
    </w:p>
    <w:p w14:paraId="61A696F6" w14:textId="77777777" w:rsidR="00615CF5" w:rsidRDefault="00615CF5" w:rsidP="00615CF5">
      <w:pPr>
        <w:ind w:left="360"/>
        <w:jc w:val="both"/>
      </w:pPr>
    </w:p>
    <w:p w14:paraId="4EFA367B" w14:textId="77777777" w:rsidR="00615CF5" w:rsidRDefault="00615CF5" w:rsidP="00615CF5">
      <w:pPr>
        <w:ind w:left="360"/>
        <w:jc w:val="both"/>
      </w:pPr>
      <w:r>
        <w:t>Az elektronikus úton benyújtott adatigénylés esetén kérjük, hogy a tárgymezőben szíveskedjen feltüntetni a „közérdekű adatigénylés” kifejezést.</w:t>
      </w:r>
    </w:p>
    <w:p w14:paraId="7008E1B9" w14:textId="77777777" w:rsidR="00615CF5" w:rsidRDefault="00615CF5" w:rsidP="0055284A">
      <w:pPr>
        <w:jc w:val="both"/>
      </w:pPr>
    </w:p>
    <w:p w14:paraId="1FC87CA1" w14:textId="3EE0F008" w:rsidR="00FC274F" w:rsidRDefault="00CA6616" w:rsidP="0055284A">
      <w:pPr>
        <w:jc w:val="both"/>
      </w:pPr>
      <w:r>
        <w:t>A</w:t>
      </w:r>
      <w:r w:rsidR="00FC274F">
        <w:t>z adatigénylés formai kötöttségektől mentesen benyújtható. Az</w:t>
      </w:r>
      <w:r w:rsidR="00335E68">
        <w:t xml:space="preserve"> igénylésben </w:t>
      </w:r>
      <w:r>
        <w:t>az igénylő</w:t>
      </w:r>
      <w:r w:rsidR="00335E68">
        <w:t xml:space="preserve"> nevét és elérhetőségét</w:t>
      </w:r>
      <w:r>
        <w:t xml:space="preserve"> köteles</w:t>
      </w:r>
      <w:r w:rsidR="00335E68">
        <w:t xml:space="preserve"> megadni. </w:t>
      </w:r>
      <w:r w:rsidR="00FC274F">
        <w:t>Az adatigénylésben meg</w:t>
      </w:r>
      <w:r>
        <w:t xml:space="preserve"> kell </w:t>
      </w:r>
      <w:r w:rsidR="00FC274F">
        <w:t xml:space="preserve">adni azt a módot, ahogyan a közérdekű adatokat </w:t>
      </w:r>
      <w:r>
        <w:t xml:space="preserve">az igénylő </w:t>
      </w:r>
      <w:r w:rsidR="00FC274F">
        <w:t xml:space="preserve">meg szeretné kapni. </w:t>
      </w:r>
    </w:p>
    <w:p w14:paraId="6962013B" w14:textId="77777777" w:rsidR="00FC274F" w:rsidRDefault="00FC274F" w:rsidP="0055284A">
      <w:pPr>
        <w:jc w:val="both"/>
      </w:pPr>
    </w:p>
    <w:p w14:paraId="6FD61EFB" w14:textId="130B7DE3" w:rsidR="00FC274F" w:rsidRDefault="0044268D" w:rsidP="0055284A">
      <w:pPr>
        <w:jc w:val="both"/>
      </w:pPr>
      <w:r>
        <w:t>A</w:t>
      </w:r>
      <w:r w:rsidR="00335E68">
        <w:t xml:space="preserve">z igényelt adat részletes és egyértelmű megjelölése elősegíti az igény pontos teljesítését. Ha az adatigénylés nem egyértelmű, a Garantiqa felhívja az igénylőt az igény pontosítására. </w:t>
      </w:r>
    </w:p>
    <w:p w14:paraId="046F6844" w14:textId="77777777" w:rsidR="00FC274F" w:rsidRDefault="00FC274F" w:rsidP="0055284A">
      <w:pPr>
        <w:jc w:val="both"/>
      </w:pPr>
    </w:p>
    <w:p w14:paraId="40FFAD87" w14:textId="2A59B943" w:rsidR="00335E68" w:rsidRDefault="00335E68" w:rsidP="0055284A">
      <w:pPr>
        <w:jc w:val="both"/>
      </w:pPr>
      <w:r>
        <w:t>Nem teljesíthető az igény, ha a válaszadáshoz szükséges pontos elérhetőségi adat nem áll rendelkezésre. A Garantiqa nem köteles továbbá az adatigénylésnek eleget tenni abban a</w:t>
      </w:r>
      <w:r w:rsidR="00BD36C5">
        <w:t xml:space="preserve">z esetben, </w:t>
      </w:r>
      <w:r w:rsidR="00B104DF">
        <w:t xml:space="preserve">ha </w:t>
      </w:r>
      <w:r>
        <w:t>az azonos igénylő által egy éven belül benyújtott, azonos adatkörre irányuló adatigénylés megegyezik, feltéve, hogy az azonos adatkörbe tartozó adatokban változás nem állt be.</w:t>
      </w:r>
    </w:p>
    <w:p w14:paraId="2BB0F00E" w14:textId="77777777" w:rsidR="00335E68" w:rsidRDefault="00335E68" w:rsidP="0055284A">
      <w:pPr>
        <w:jc w:val="both"/>
      </w:pPr>
      <w:bookmarkStart w:id="8" w:name="_GoBack"/>
      <w:bookmarkEnd w:id="8"/>
    </w:p>
    <w:p w14:paraId="3DF62506" w14:textId="77777777" w:rsidR="006E1DA7" w:rsidRDefault="006E1DA7" w:rsidP="0055284A">
      <w:pPr>
        <w:pStyle w:val="Cmsor1"/>
        <w:spacing w:before="0"/>
        <w:rPr>
          <w:rFonts w:ascii="Times New Roman" w:hAnsi="Times New Roman" w:cs="Times New Roman"/>
          <w:b/>
          <w:color w:val="auto"/>
          <w:sz w:val="24"/>
        </w:rPr>
      </w:pPr>
      <w:r w:rsidRPr="006E1DA7">
        <w:rPr>
          <w:rFonts w:ascii="Times New Roman" w:hAnsi="Times New Roman" w:cs="Times New Roman"/>
          <w:b/>
          <w:color w:val="auto"/>
          <w:sz w:val="24"/>
        </w:rPr>
        <w:t xml:space="preserve">Közérdekű adatigénylés teljesítéséhez kapcsolódó információk </w:t>
      </w:r>
    </w:p>
    <w:p w14:paraId="26F72C26" w14:textId="77777777" w:rsidR="006E1DA7" w:rsidRPr="006E1DA7" w:rsidRDefault="006E1DA7" w:rsidP="0055284A"/>
    <w:p w14:paraId="736586E4" w14:textId="1B2EBFE9" w:rsidR="00335E68" w:rsidRDefault="00335E68" w:rsidP="0055284A">
      <w:pPr>
        <w:jc w:val="both"/>
      </w:pPr>
      <w:r>
        <w:t xml:space="preserve">A </w:t>
      </w:r>
      <w:r w:rsidR="00876352">
        <w:t>Garantiqa</w:t>
      </w:r>
      <w:r>
        <w:t xml:space="preserve"> a közérdekű vagy közérdekből nyilvános adat megismerésére irányuló igénynek az igény tudomásra jutását követő legrövidebb idő alatt, legfeljebb azonban 15 napon belül eleget tesz. Jelentős terjedelmű, illetve nagyszámú adatra vonatkozó adatigénylés esetében a határidő egy alkalommal 15 </w:t>
      </w:r>
      <w:r>
        <w:lastRenderedPageBreak/>
        <w:t xml:space="preserve">nappal meghosszabbítható. A határidő esetleges meghosszabbításáról </w:t>
      </w:r>
      <w:r w:rsidR="00203499">
        <w:t xml:space="preserve">a Garantiqa </w:t>
      </w:r>
      <w:r>
        <w:t>az igény kézhezvételét követő 15 napon belül tájékoztatást ad.</w:t>
      </w:r>
    </w:p>
    <w:p w14:paraId="18F4D7E9" w14:textId="77777777" w:rsidR="00335E68" w:rsidRDefault="00335E68" w:rsidP="0055284A">
      <w:pPr>
        <w:jc w:val="both"/>
      </w:pPr>
    </w:p>
    <w:p w14:paraId="040BBB86" w14:textId="563700F4" w:rsidR="00FC274F" w:rsidRDefault="00335E68" w:rsidP="0055284A">
      <w:pPr>
        <w:jc w:val="both"/>
      </w:pPr>
      <w:r>
        <w:t>Az</w:t>
      </w:r>
      <w:r w:rsidR="002421EE">
        <w:t xml:space="preserve"> igénylő az</w:t>
      </w:r>
      <w:r>
        <w:t xml:space="preserve"> adatokat tartalmazó dokumentumról vagy dokumentumrészről, annak tárolási módjától függően másolatot kérhet. Az adatok közlésével összefüggésben felmerült másolási költségekről </w:t>
      </w:r>
      <w:r w:rsidR="00392862">
        <w:t xml:space="preserve">a Garantiqa </w:t>
      </w:r>
      <w:r>
        <w:t xml:space="preserve">(másolat készítése, az átadott adathordozó önköltsége) </w:t>
      </w:r>
      <w:r w:rsidR="00392862">
        <w:t xml:space="preserve">az </w:t>
      </w:r>
      <w:r>
        <w:t>arányos térítési díjakról, a megállapított költségtérítés pontos összegéről az adatszolgáltatást megelőzően tájékoztat</w:t>
      </w:r>
      <w:r w:rsidR="00392862">
        <w:t>ást nyújt</w:t>
      </w:r>
      <w:r>
        <w:t xml:space="preserve">. </w:t>
      </w:r>
    </w:p>
    <w:p w14:paraId="5125A7CB" w14:textId="77777777" w:rsidR="00FC274F" w:rsidRDefault="00FC274F" w:rsidP="0055284A">
      <w:pPr>
        <w:jc w:val="both"/>
      </w:pPr>
    </w:p>
    <w:p w14:paraId="2CA305B7" w14:textId="34A9990F" w:rsidR="00335E68" w:rsidRDefault="00FC274F" w:rsidP="0055284A">
      <w:pPr>
        <w:jc w:val="both"/>
      </w:pPr>
      <w:r>
        <w:t>A</w:t>
      </w:r>
      <w:r w:rsidR="00203499">
        <w:t>z igénylőnek a</w:t>
      </w:r>
      <w:r w:rsidR="00335E68">
        <w:t xml:space="preserve"> megállapított költségtérítéssel kapcsolatban az erről szóló tájékoztatás kézhezvételét követő 30 napon belül nyilatkoz</w:t>
      </w:r>
      <w:r>
        <w:t>ni szükséges</w:t>
      </w:r>
      <w:r w:rsidR="00335E68">
        <w:t xml:space="preserve">, hogy az igénylését fenntartja-e. A tájékoztatás megtételétől az igénylő nyilatkozatának a </w:t>
      </w:r>
      <w:proofErr w:type="spellStart"/>
      <w:r w:rsidR="00876352">
        <w:t>Garantiqá</w:t>
      </w:r>
      <w:r w:rsidR="00335E68">
        <w:t>hoz</w:t>
      </w:r>
      <w:proofErr w:type="spellEnd"/>
      <w:r w:rsidR="00335E68">
        <w:t xml:space="preserve"> való beérkezéséig terjedő időtartam az adatigénylés teljesítésére rendelkezésre álló határidőbe nem számít bele. </w:t>
      </w:r>
      <w:r w:rsidR="00203499">
        <w:t>A</w:t>
      </w:r>
      <w:r>
        <w:t xml:space="preserve">mennyiben </w:t>
      </w:r>
      <w:r w:rsidR="00335E68">
        <w:t>az</w:t>
      </w:r>
      <w:r w:rsidR="00203499">
        <w:t xml:space="preserve"> igénylő</w:t>
      </w:r>
      <w:r w:rsidR="00335E68">
        <w:t xml:space="preserve"> igényét fenntartja, a költségtérítést a </w:t>
      </w:r>
      <w:r w:rsidR="00FE459C">
        <w:t>Garantiqa</w:t>
      </w:r>
      <w:r w:rsidR="00335E68">
        <w:t xml:space="preserve"> által megállapított (legalább 15 napos) határidőn belül köteles megfizetni. Az igényelt adatot tartalmazó adathordozó</w:t>
      </w:r>
      <w:r w:rsidR="00203499">
        <w:t>t a Garantiqa</w:t>
      </w:r>
      <w:r w:rsidR="00335E68">
        <w:t xml:space="preserve"> </w:t>
      </w:r>
      <w:r>
        <w:t xml:space="preserve">kizárólag a </w:t>
      </w:r>
      <w:r w:rsidR="00335E68">
        <w:t>befizetés igazolását követően ad</w:t>
      </w:r>
      <w:r>
        <w:t>j</w:t>
      </w:r>
      <w:r w:rsidR="00203499">
        <w:t>a</w:t>
      </w:r>
      <w:r>
        <w:t xml:space="preserve"> át</w:t>
      </w:r>
      <w:r w:rsidR="00335E68">
        <w:t xml:space="preserve">. </w:t>
      </w:r>
    </w:p>
    <w:p w14:paraId="051F17B3" w14:textId="77777777" w:rsidR="00335E68" w:rsidRDefault="00335E68" w:rsidP="0055284A">
      <w:pPr>
        <w:jc w:val="both"/>
      </w:pPr>
    </w:p>
    <w:p w14:paraId="14DCD5D1" w14:textId="6961A5BF" w:rsidR="00335E68" w:rsidRDefault="00335E68" w:rsidP="0055284A">
      <w:pPr>
        <w:jc w:val="both"/>
      </w:pPr>
      <w:r>
        <w:t>Amennyiben a kért adat nem közérdekű- vagy közérdekből nyilvános adat, illetve az adatok közlésének megtagadása bármely okból szükséges (pl. üzleti titok, know-how, személyes adat, döntést vagy további döntést megalapozó adat stb.) az igény teljesítésének megtagadásáról – függetlenül a benyújtás módjától −, annak indokával együtt 15 napon belül értesít</w:t>
      </w:r>
      <w:r w:rsidR="00203499">
        <w:t xml:space="preserve">i </w:t>
      </w:r>
      <w:r w:rsidR="00392862">
        <w:t xml:space="preserve">a </w:t>
      </w:r>
      <w:r w:rsidR="00203499">
        <w:t>Garantiqa az igénylőt</w:t>
      </w:r>
      <w:r>
        <w:t>.</w:t>
      </w:r>
    </w:p>
    <w:p w14:paraId="770377B5" w14:textId="77777777" w:rsidR="006E1DA7" w:rsidRDefault="006E1DA7" w:rsidP="0055284A">
      <w:pPr>
        <w:jc w:val="both"/>
      </w:pPr>
    </w:p>
    <w:p w14:paraId="5B145137" w14:textId="77777777" w:rsidR="006E1DA7" w:rsidRPr="006E1DA7" w:rsidRDefault="006E1DA7" w:rsidP="0055284A">
      <w:pPr>
        <w:pStyle w:val="Cmsor1"/>
        <w:spacing w:before="0"/>
        <w:rPr>
          <w:rFonts w:ascii="Times New Roman" w:hAnsi="Times New Roman" w:cs="Times New Roman"/>
          <w:b/>
          <w:color w:val="auto"/>
          <w:sz w:val="24"/>
        </w:rPr>
      </w:pPr>
      <w:r w:rsidRPr="006E1DA7">
        <w:rPr>
          <w:rFonts w:ascii="Times New Roman" w:hAnsi="Times New Roman" w:cs="Times New Roman"/>
          <w:b/>
          <w:color w:val="auto"/>
          <w:sz w:val="24"/>
        </w:rPr>
        <w:t>Jogorvoslat</w:t>
      </w:r>
    </w:p>
    <w:p w14:paraId="357C8B90" w14:textId="77777777" w:rsidR="00335E68" w:rsidRDefault="00335E68" w:rsidP="0055284A">
      <w:pPr>
        <w:jc w:val="both"/>
      </w:pPr>
    </w:p>
    <w:p w14:paraId="0602F253" w14:textId="62206D4C" w:rsidR="00FC274F" w:rsidRDefault="00335E68" w:rsidP="0055284A">
      <w:pPr>
        <w:jc w:val="both"/>
      </w:pPr>
      <w:r>
        <w:t xml:space="preserve">Az adatkérő a közérdekű adatigénylés teljesítésének megtagadása esetén a teljesítési, illetve </w:t>
      </w:r>
      <w:r w:rsidR="00392862">
        <w:t xml:space="preserve">a </w:t>
      </w:r>
      <w:r>
        <w:t>meghosszabbított teljesítési határidő eredménytelen eltelte</w:t>
      </w:r>
      <w:r w:rsidR="00B40213">
        <w:t xml:space="preserve"> után</w:t>
      </w:r>
      <w:r>
        <w:t>, valamint a megállapított költségtérítés összegének felülvizsgálata érdekében bírósághoz fordulhat. A pert az igény elutasításának közlésétől, a határidő eredménytelen elteltétől, illetve a költségtérítés megfizetésére vonatkozó határidő lejártától számított 30 napon belül kell megindítani.</w:t>
      </w:r>
    </w:p>
    <w:p w14:paraId="3A1719EB" w14:textId="77777777" w:rsidR="00FC274F" w:rsidRDefault="00FC274F" w:rsidP="0055284A">
      <w:pPr>
        <w:jc w:val="both"/>
      </w:pPr>
    </w:p>
    <w:p w14:paraId="234A15F4" w14:textId="1B8EB024" w:rsidR="006E1DA7" w:rsidRDefault="00335E68" w:rsidP="0055284A">
      <w:pPr>
        <w:jc w:val="both"/>
      </w:pPr>
      <w:r>
        <w:t xml:space="preserve">A Nemzeti Adatvédelmi és Információszabadság Hatóságnál bejelentéssel bárki vizsgálatot kezdeményezhet arra hivatkozással, hogy a közérdekű adatok vagy a közérdekből nyilvános adatok megismeréséhez fűződő jogok gyakorlásával kapcsolatban jogsérelem következett be, vagy annak közvetlen veszélye fennáll. Ha az igény elutasítása, nem teljesítése vagy az adatigénylés teljesítéséért megállapított költségtérítés összege miatt az igénylő a </w:t>
      </w:r>
      <w:r w:rsidR="007C69E1">
        <w:t xml:space="preserve">Nemzeti Adatvédelmi és Információszabadság </w:t>
      </w:r>
      <w:r>
        <w:t xml:space="preserve">Hatóság vizsgálatának kezdeményezése érdekében bejelentést tesz, a pert a bejelentés érdemi vizsgálatának elutasításáról, a vizsgálat megszüntetéséről, a bejelentés megalapozatlansága miatti lezárásról szóló vagy a </w:t>
      </w:r>
      <w:r w:rsidR="007C69E1">
        <w:t xml:space="preserve">Nemzeti Adatvédelmi és Információszabadság </w:t>
      </w:r>
      <w:r>
        <w:t xml:space="preserve">Hatóság intézkedéséről való értesítés kézhezvételét követő </w:t>
      </w:r>
      <w:r w:rsidR="00203499">
        <w:t>30</w:t>
      </w:r>
      <w:r>
        <w:t xml:space="preserve"> napon belül </w:t>
      </w:r>
      <w:r w:rsidR="00E76C72">
        <w:t>kell</w:t>
      </w:r>
      <w:r>
        <w:t xml:space="preserve"> megindítani.</w:t>
      </w:r>
      <w:r w:rsidR="006E1DA7" w:rsidRPr="006E1DA7">
        <w:t xml:space="preserve"> </w:t>
      </w:r>
    </w:p>
    <w:p w14:paraId="5FDCA8FF" w14:textId="77777777" w:rsidR="006E1DA7" w:rsidRDefault="006E1DA7" w:rsidP="007546F4">
      <w:pPr>
        <w:pStyle w:val="Cmsor1"/>
        <w:spacing w:before="120" w:after="120"/>
        <w:rPr>
          <w:rFonts w:ascii="Times New Roman" w:hAnsi="Times New Roman" w:cs="Times New Roman"/>
          <w:b/>
          <w:color w:val="auto"/>
          <w:sz w:val="24"/>
        </w:rPr>
      </w:pPr>
      <w:r w:rsidRPr="006E1DA7">
        <w:rPr>
          <w:rFonts w:ascii="Times New Roman" w:hAnsi="Times New Roman" w:cs="Times New Roman"/>
          <w:b/>
          <w:color w:val="auto"/>
          <w:sz w:val="24"/>
        </w:rPr>
        <w:t>Adatvédelem</w:t>
      </w:r>
    </w:p>
    <w:p w14:paraId="4D16464C" w14:textId="5919509C" w:rsidR="00EB61C3" w:rsidRDefault="004F0825" w:rsidP="0055284A">
      <w:pPr>
        <w:jc w:val="both"/>
      </w:pPr>
      <w:r>
        <w:t xml:space="preserve">A </w:t>
      </w:r>
      <w:r w:rsidR="00203499">
        <w:t>Garantiqa</w:t>
      </w:r>
      <w:r w:rsidR="006E1DA7">
        <w:t xml:space="preserve"> az igénylés során rendelkezés</w:t>
      </w:r>
      <w:r w:rsidR="00077C57">
        <w:t>é</w:t>
      </w:r>
      <w:r w:rsidR="006E1DA7">
        <w:t>re bocsátott személyes adat</w:t>
      </w:r>
      <w:r w:rsidR="00203499">
        <w:t>oka</w:t>
      </w:r>
      <w:r w:rsidR="006E1DA7">
        <w:t>t kizárólag ezen igény teljesítésével kapcsolatban használj</w:t>
      </w:r>
      <w:r w:rsidR="00203499">
        <w:t>a</w:t>
      </w:r>
      <w:r w:rsidR="006E1DA7">
        <w:t xml:space="preserve"> fel. A Garantiqa adatkezelési tájékoztatója </w:t>
      </w:r>
      <w:r w:rsidR="00203499">
        <w:t xml:space="preserve">a </w:t>
      </w:r>
      <w:hyperlink r:id="rId9" w:history="1">
        <w:r w:rsidR="00203499" w:rsidRPr="0077757A">
          <w:rPr>
            <w:rStyle w:val="Hiperhivatkozs"/>
          </w:rPr>
          <w:t>www.garantiqa.hu</w:t>
        </w:r>
      </w:hyperlink>
      <w:r w:rsidR="00203499">
        <w:t xml:space="preserve"> </w:t>
      </w:r>
      <w:r w:rsidR="006E1DA7">
        <w:t>honlapon elérhető (</w:t>
      </w:r>
      <w:hyperlink r:id="rId10" w:history="1">
        <w:r w:rsidR="006E1DA7">
          <w:rPr>
            <w:rStyle w:val="Hiperhivatkozs"/>
          </w:rPr>
          <w:t>Adatkezelési tájékoztató – Garantiqa Hitelgarancia Zrt.</w:t>
        </w:r>
      </w:hyperlink>
      <w:r w:rsidR="006E1DA7">
        <w:t>).</w:t>
      </w:r>
    </w:p>
    <w:sectPr w:rsidR="00EB61C3" w:rsidSect="007546F4">
      <w:headerReference w:type="default" r:id="rId11"/>
      <w:footerReference w:type="default" r:id="rId12"/>
      <w:pgSz w:w="11906" w:h="16838"/>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C304A" w14:textId="77777777" w:rsidR="006B06D1" w:rsidRDefault="006B06D1" w:rsidP="006B06D1">
      <w:r>
        <w:separator/>
      </w:r>
    </w:p>
  </w:endnote>
  <w:endnote w:type="continuationSeparator" w:id="0">
    <w:p w14:paraId="457E30E2" w14:textId="77777777" w:rsidR="006B06D1" w:rsidRDefault="006B06D1" w:rsidP="006B0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8F920" w14:textId="0AECB42C" w:rsidR="00335E68" w:rsidRDefault="00651BE1" w:rsidP="007546F4">
    <w:pPr>
      <w:pBdr>
        <w:top w:val="single" w:sz="4" w:space="1" w:color="auto"/>
      </w:pBdr>
      <w:tabs>
        <w:tab w:val="center" w:pos="4536"/>
        <w:tab w:val="right" w:pos="9639"/>
      </w:tabs>
    </w:pPr>
    <w:sdt>
      <w:sdtPr>
        <w:rPr>
          <w:rFonts w:eastAsia="Calibri"/>
          <w:i/>
          <w:sz w:val="20"/>
          <w:szCs w:val="20"/>
          <w:lang w:eastAsia="en-US"/>
        </w:rPr>
        <w:id w:val="-1343165380"/>
        <w:docPartObj>
          <w:docPartGallery w:val="Page Numbers (Top of Page)"/>
          <w:docPartUnique/>
        </w:docPartObj>
      </w:sdtPr>
      <w:sdtEndPr/>
      <w:sdtContent>
        <w:r w:rsidR="00335E68">
          <w:rPr>
            <w:rFonts w:eastAsia="Calibri"/>
            <w:i/>
            <w:sz w:val="20"/>
            <w:szCs w:val="20"/>
            <w:lang w:eastAsia="en-US"/>
          </w:rPr>
          <w:t>3</w:t>
        </w:r>
        <w:r w:rsidR="00335E68" w:rsidRPr="00335E68">
          <w:rPr>
            <w:rFonts w:eastAsia="Calibri"/>
            <w:i/>
            <w:sz w:val="20"/>
            <w:szCs w:val="20"/>
            <w:lang w:eastAsia="en-US"/>
          </w:rPr>
          <w:t xml:space="preserve">. sz. melléklet </w:t>
        </w:r>
        <w:r>
          <w:rPr>
            <w:rFonts w:eastAsia="Calibri"/>
            <w:i/>
            <w:sz w:val="20"/>
            <w:szCs w:val="20"/>
            <w:lang w:eastAsia="en-US"/>
          </w:rPr>
          <w:t>6</w:t>
        </w:r>
        <w:r w:rsidR="00335E68" w:rsidRPr="00335E68">
          <w:rPr>
            <w:rFonts w:eastAsia="Calibri"/>
            <w:i/>
            <w:sz w:val="20"/>
            <w:szCs w:val="20"/>
            <w:lang w:eastAsia="en-US"/>
          </w:rPr>
          <w:t>/202</w:t>
        </w:r>
        <w:r w:rsidR="00737FF1">
          <w:rPr>
            <w:rFonts w:eastAsia="Calibri"/>
            <w:i/>
            <w:sz w:val="20"/>
            <w:szCs w:val="20"/>
            <w:lang w:eastAsia="en-US"/>
          </w:rPr>
          <w:t>6</w:t>
        </w:r>
        <w:r w:rsidR="00335E68" w:rsidRPr="00335E68">
          <w:rPr>
            <w:rFonts w:eastAsia="Calibri"/>
            <w:i/>
            <w:sz w:val="20"/>
            <w:szCs w:val="20"/>
            <w:lang w:eastAsia="en-US"/>
          </w:rPr>
          <w:t>. vezérigazgatói utasítás</w:t>
        </w:r>
        <w:r w:rsidR="00335E68" w:rsidRPr="00335E68">
          <w:rPr>
            <w:rFonts w:eastAsia="Calibri"/>
            <w:i/>
            <w:sz w:val="20"/>
            <w:szCs w:val="20"/>
            <w:lang w:eastAsia="en-US"/>
          </w:rPr>
          <w:tab/>
        </w:r>
        <w:r w:rsidR="00335E68" w:rsidRPr="00335E68">
          <w:rPr>
            <w:rFonts w:eastAsia="Calibri"/>
            <w:i/>
            <w:sz w:val="20"/>
            <w:szCs w:val="20"/>
            <w:lang w:eastAsia="en-US"/>
          </w:rPr>
          <w:tab/>
        </w:r>
        <w:r w:rsidR="00335E68" w:rsidRPr="00335E68">
          <w:rPr>
            <w:rFonts w:eastAsia="Calibri"/>
            <w:i/>
            <w:sz w:val="20"/>
            <w:szCs w:val="20"/>
            <w:lang w:eastAsia="en-US"/>
          </w:rPr>
          <w:fldChar w:fldCharType="begin"/>
        </w:r>
        <w:r w:rsidR="00335E68" w:rsidRPr="00335E68">
          <w:rPr>
            <w:rFonts w:eastAsia="Calibri"/>
            <w:i/>
            <w:sz w:val="20"/>
            <w:szCs w:val="20"/>
            <w:lang w:eastAsia="en-US"/>
          </w:rPr>
          <w:instrText>PAGE</w:instrText>
        </w:r>
        <w:r w:rsidR="00335E68" w:rsidRPr="00335E68">
          <w:rPr>
            <w:rFonts w:eastAsia="Calibri"/>
            <w:i/>
            <w:sz w:val="20"/>
            <w:szCs w:val="20"/>
            <w:lang w:eastAsia="en-US"/>
          </w:rPr>
          <w:fldChar w:fldCharType="separate"/>
        </w:r>
        <w:r w:rsidR="00335E68" w:rsidRPr="00335E68">
          <w:rPr>
            <w:rFonts w:eastAsia="Calibri"/>
            <w:i/>
            <w:sz w:val="20"/>
            <w:szCs w:val="20"/>
            <w:lang w:eastAsia="en-US"/>
          </w:rPr>
          <w:t>1</w:t>
        </w:r>
        <w:r w:rsidR="00335E68" w:rsidRPr="00335E68">
          <w:rPr>
            <w:rFonts w:eastAsia="Calibri"/>
            <w:i/>
            <w:sz w:val="20"/>
            <w:szCs w:val="20"/>
            <w:lang w:eastAsia="en-US"/>
          </w:rPr>
          <w:fldChar w:fldCharType="end"/>
        </w:r>
        <w:r w:rsidR="00335E68" w:rsidRPr="00335E68">
          <w:rPr>
            <w:rFonts w:eastAsia="Calibri"/>
            <w:i/>
            <w:sz w:val="20"/>
            <w:szCs w:val="20"/>
            <w:lang w:eastAsia="en-US"/>
          </w:rPr>
          <w:t xml:space="preserve"> / </w:t>
        </w:r>
        <w:r w:rsidR="00335E68" w:rsidRPr="00335E68">
          <w:rPr>
            <w:rFonts w:eastAsia="Calibri"/>
            <w:i/>
            <w:sz w:val="20"/>
            <w:szCs w:val="20"/>
            <w:lang w:eastAsia="en-US"/>
          </w:rPr>
          <w:fldChar w:fldCharType="begin"/>
        </w:r>
        <w:r w:rsidR="00335E68" w:rsidRPr="00335E68">
          <w:rPr>
            <w:rFonts w:eastAsia="Calibri"/>
            <w:i/>
            <w:sz w:val="20"/>
            <w:szCs w:val="20"/>
            <w:lang w:eastAsia="en-US"/>
          </w:rPr>
          <w:instrText>NUMPAGES</w:instrText>
        </w:r>
        <w:r w:rsidR="00335E68" w:rsidRPr="00335E68">
          <w:rPr>
            <w:rFonts w:eastAsia="Calibri"/>
            <w:i/>
            <w:sz w:val="20"/>
            <w:szCs w:val="20"/>
            <w:lang w:eastAsia="en-US"/>
          </w:rPr>
          <w:fldChar w:fldCharType="separate"/>
        </w:r>
        <w:r w:rsidR="00335E68" w:rsidRPr="00335E68">
          <w:rPr>
            <w:rFonts w:eastAsia="Calibri"/>
            <w:i/>
            <w:sz w:val="20"/>
            <w:szCs w:val="20"/>
            <w:lang w:eastAsia="en-US"/>
          </w:rPr>
          <w:t>2</w:t>
        </w:r>
        <w:r w:rsidR="00335E68" w:rsidRPr="00335E68">
          <w:rPr>
            <w:rFonts w:eastAsia="Calibri"/>
            <w:i/>
            <w:sz w:val="20"/>
            <w:szCs w:val="20"/>
            <w:lang w:eastAsia="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7933E" w14:textId="77777777" w:rsidR="006B06D1" w:rsidRDefault="006B06D1" w:rsidP="006B06D1">
      <w:r>
        <w:separator/>
      </w:r>
    </w:p>
  </w:footnote>
  <w:footnote w:type="continuationSeparator" w:id="0">
    <w:p w14:paraId="25E6AD86" w14:textId="77777777" w:rsidR="006B06D1" w:rsidRDefault="006B06D1" w:rsidP="006B0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E9FF7" w14:textId="77777777" w:rsidR="00335E68" w:rsidRPr="00335E68" w:rsidRDefault="00335E68" w:rsidP="00335E68">
    <w:pPr>
      <w:pBdr>
        <w:bottom w:val="single" w:sz="4" w:space="1" w:color="auto"/>
      </w:pBdr>
      <w:jc w:val="both"/>
      <w:rPr>
        <w:i/>
        <w:sz w:val="20"/>
        <w:szCs w:val="20"/>
        <w:lang w:eastAsia="en-US"/>
      </w:rPr>
    </w:pPr>
    <w:r w:rsidRPr="00335E68">
      <w:rPr>
        <w:i/>
        <w:sz w:val="20"/>
        <w:szCs w:val="20"/>
        <w:lang w:eastAsia="en-US"/>
      </w:rPr>
      <w:t xml:space="preserve">Tájékoztató közérdekű adatigénylés módjáról </w:t>
    </w:r>
  </w:p>
  <w:p w14:paraId="0FEBCDE8" w14:textId="77777777" w:rsidR="00335E68" w:rsidRDefault="00335E6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21175"/>
    <w:multiLevelType w:val="hybridMultilevel"/>
    <w:tmpl w:val="2A92908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49A66F7"/>
    <w:multiLevelType w:val="multilevel"/>
    <w:tmpl w:val="6D5A870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4891D74"/>
    <w:multiLevelType w:val="hybridMultilevel"/>
    <w:tmpl w:val="DA44FF56"/>
    <w:lvl w:ilvl="0" w:tplc="E9F4FCAC">
      <w:start w:val="1"/>
      <w:numFmt w:val="lowerLetter"/>
      <w:lvlText w:val="%1)"/>
      <w:lvlJc w:val="left"/>
      <w:pPr>
        <w:ind w:left="417" w:hanging="360"/>
      </w:pPr>
      <w:rPr>
        <w:rFonts w:hint="default"/>
      </w:rPr>
    </w:lvl>
    <w:lvl w:ilvl="1" w:tplc="040E0019" w:tentative="1">
      <w:start w:val="1"/>
      <w:numFmt w:val="lowerLetter"/>
      <w:lvlText w:val="%2."/>
      <w:lvlJc w:val="left"/>
      <w:pPr>
        <w:ind w:left="1137" w:hanging="360"/>
      </w:pPr>
    </w:lvl>
    <w:lvl w:ilvl="2" w:tplc="040E001B" w:tentative="1">
      <w:start w:val="1"/>
      <w:numFmt w:val="lowerRoman"/>
      <w:lvlText w:val="%3."/>
      <w:lvlJc w:val="right"/>
      <w:pPr>
        <w:ind w:left="1857" w:hanging="180"/>
      </w:pPr>
    </w:lvl>
    <w:lvl w:ilvl="3" w:tplc="040E000F" w:tentative="1">
      <w:start w:val="1"/>
      <w:numFmt w:val="decimal"/>
      <w:lvlText w:val="%4."/>
      <w:lvlJc w:val="left"/>
      <w:pPr>
        <w:ind w:left="2577" w:hanging="360"/>
      </w:pPr>
    </w:lvl>
    <w:lvl w:ilvl="4" w:tplc="040E0019" w:tentative="1">
      <w:start w:val="1"/>
      <w:numFmt w:val="lowerLetter"/>
      <w:lvlText w:val="%5."/>
      <w:lvlJc w:val="left"/>
      <w:pPr>
        <w:ind w:left="3297" w:hanging="360"/>
      </w:pPr>
    </w:lvl>
    <w:lvl w:ilvl="5" w:tplc="040E001B" w:tentative="1">
      <w:start w:val="1"/>
      <w:numFmt w:val="lowerRoman"/>
      <w:lvlText w:val="%6."/>
      <w:lvlJc w:val="right"/>
      <w:pPr>
        <w:ind w:left="4017" w:hanging="180"/>
      </w:pPr>
    </w:lvl>
    <w:lvl w:ilvl="6" w:tplc="040E000F" w:tentative="1">
      <w:start w:val="1"/>
      <w:numFmt w:val="decimal"/>
      <w:lvlText w:val="%7."/>
      <w:lvlJc w:val="left"/>
      <w:pPr>
        <w:ind w:left="4737" w:hanging="360"/>
      </w:pPr>
    </w:lvl>
    <w:lvl w:ilvl="7" w:tplc="040E0019" w:tentative="1">
      <w:start w:val="1"/>
      <w:numFmt w:val="lowerLetter"/>
      <w:lvlText w:val="%8."/>
      <w:lvlJc w:val="left"/>
      <w:pPr>
        <w:ind w:left="5457" w:hanging="360"/>
      </w:pPr>
    </w:lvl>
    <w:lvl w:ilvl="8" w:tplc="040E001B" w:tentative="1">
      <w:start w:val="1"/>
      <w:numFmt w:val="lowerRoman"/>
      <w:lvlText w:val="%9."/>
      <w:lvlJc w:val="right"/>
      <w:pPr>
        <w:ind w:left="6177" w:hanging="180"/>
      </w:pPr>
    </w:lvl>
  </w:abstractNum>
  <w:abstractNum w:abstractNumId="3" w15:restartNumberingAfterBreak="0">
    <w:nsid w:val="674F00BF"/>
    <w:multiLevelType w:val="hybridMultilevel"/>
    <w:tmpl w:val="92D69644"/>
    <w:lvl w:ilvl="0" w:tplc="C770B212">
      <w:start w:val="1"/>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D1"/>
    <w:rsid w:val="00077C57"/>
    <w:rsid w:val="00203499"/>
    <w:rsid w:val="002421EE"/>
    <w:rsid w:val="00335E68"/>
    <w:rsid w:val="00392862"/>
    <w:rsid w:val="003C7516"/>
    <w:rsid w:val="003E3DC1"/>
    <w:rsid w:val="004032AA"/>
    <w:rsid w:val="0044268D"/>
    <w:rsid w:val="004F0825"/>
    <w:rsid w:val="0055284A"/>
    <w:rsid w:val="00597941"/>
    <w:rsid w:val="00615CF5"/>
    <w:rsid w:val="00651BE1"/>
    <w:rsid w:val="00665EE7"/>
    <w:rsid w:val="00667FD7"/>
    <w:rsid w:val="006B06D1"/>
    <w:rsid w:val="006E1DA7"/>
    <w:rsid w:val="00737FF1"/>
    <w:rsid w:val="007546F4"/>
    <w:rsid w:val="007C69E1"/>
    <w:rsid w:val="00876352"/>
    <w:rsid w:val="008A4821"/>
    <w:rsid w:val="008C6949"/>
    <w:rsid w:val="009B546A"/>
    <w:rsid w:val="00A734BC"/>
    <w:rsid w:val="00B104DF"/>
    <w:rsid w:val="00B40213"/>
    <w:rsid w:val="00BD36C5"/>
    <w:rsid w:val="00C01AC4"/>
    <w:rsid w:val="00C253FF"/>
    <w:rsid w:val="00CA48BF"/>
    <w:rsid w:val="00CA6616"/>
    <w:rsid w:val="00D62D70"/>
    <w:rsid w:val="00D671F7"/>
    <w:rsid w:val="00E76C72"/>
    <w:rsid w:val="00EB61C3"/>
    <w:rsid w:val="00F21199"/>
    <w:rsid w:val="00F83ED8"/>
    <w:rsid w:val="00FC274F"/>
    <w:rsid w:val="00FC34B9"/>
    <w:rsid w:val="00FC4822"/>
    <w:rsid w:val="00FE45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DDD1202"/>
  <w15:chartTrackingRefBased/>
  <w15:docId w15:val="{29D68121-C2FA-45FF-BC1B-B7BE046E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6B06D1"/>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3E3D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qFormat/>
    <w:rsid w:val="006B06D1"/>
    <w:pPr>
      <w:keepNext/>
      <w:outlineLvl w:val="1"/>
    </w:pPr>
    <w:rPr>
      <w:b/>
      <w:bCs/>
      <w:i/>
      <w:iCs/>
    </w:rPr>
  </w:style>
  <w:style w:type="paragraph" w:styleId="Cmsor3">
    <w:name w:val="heading 3"/>
    <w:basedOn w:val="Norml"/>
    <w:next w:val="Norml"/>
    <w:link w:val="Cmsor3Char"/>
    <w:qFormat/>
    <w:rsid w:val="006B06D1"/>
    <w:pPr>
      <w:keepNext/>
      <w:outlineLvl w:val="2"/>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semiHidden/>
    <w:rsid w:val="006B06D1"/>
    <w:rPr>
      <w:sz w:val="20"/>
      <w:szCs w:val="20"/>
    </w:rPr>
  </w:style>
  <w:style w:type="character" w:customStyle="1" w:styleId="LbjegyzetszvegChar">
    <w:name w:val="Lábjegyzetszöveg Char"/>
    <w:basedOn w:val="Bekezdsalapbettpusa"/>
    <w:link w:val="Lbjegyzetszveg"/>
    <w:semiHidden/>
    <w:rsid w:val="006B06D1"/>
    <w:rPr>
      <w:rFonts w:ascii="Times New Roman" w:eastAsia="Times New Roman" w:hAnsi="Times New Roman" w:cs="Times New Roman"/>
      <w:sz w:val="20"/>
      <w:szCs w:val="20"/>
      <w:lang w:eastAsia="hu-HU"/>
    </w:rPr>
  </w:style>
  <w:style w:type="character" w:styleId="Lbjegyzet-hivatkozs">
    <w:name w:val="footnote reference"/>
    <w:basedOn w:val="Bekezdsalapbettpusa"/>
    <w:semiHidden/>
    <w:rsid w:val="006B06D1"/>
    <w:rPr>
      <w:rFonts w:cs="Times New Roman"/>
      <w:vertAlign w:val="superscript"/>
    </w:rPr>
  </w:style>
  <w:style w:type="paragraph" w:styleId="Listaszerbekezds">
    <w:name w:val="List Paragraph"/>
    <w:basedOn w:val="Norml"/>
    <w:uiPriority w:val="34"/>
    <w:qFormat/>
    <w:rsid w:val="006B06D1"/>
    <w:pPr>
      <w:ind w:left="720"/>
      <w:contextualSpacing/>
    </w:pPr>
  </w:style>
  <w:style w:type="character" w:customStyle="1" w:styleId="Cmsor2Char">
    <w:name w:val="Címsor 2 Char"/>
    <w:basedOn w:val="Bekezdsalapbettpusa"/>
    <w:link w:val="Cmsor2"/>
    <w:rsid w:val="006B06D1"/>
    <w:rPr>
      <w:rFonts w:ascii="Times New Roman" w:eastAsia="Times New Roman" w:hAnsi="Times New Roman" w:cs="Times New Roman"/>
      <w:b/>
      <w:bCs/>
      <w:i/>
      <w:iCs/>
      <w:sz w:val="24"/>
      <w:szCs w:val="24"/>
      <w:lang w:eastAsia="hu-HU"/>
    </w:rPr>
  </w:style>
  <w:style w:type="character" w:customStyle="1" w:styleId="Cmsor3Char">
    <w:name w:val="Címsor 3 Char"/>
    <w:basedOn w:val="Bekezdsalapbettpusa"/>
    <w:link w:val="Cmsor3"/>
    <w:rsid w:val="006B06D1"/>
    <w:rPr>
      <w:rFonts w:ascii="Times New Roman" w:eastAsia="Times New Roman" w:hAnsi="Times New Roman" w:cs="Times New Roman"/>
      <w:b/>
      <w:bCs/>
      <w:sz w:val="24"/>
      <w:szCs w:val="24"/>
      <w:lang w:eastAsia="hu-HU"/>
    </w:rPr>
  </w:style>
  <w:style w:type="paragraph" w:styleId="lfej">
    <w:name w:val="header"/>
    <w:basedOn w:val="Norml"/>
    <w:link w:val="lfejChar"/>
    <w:uiPriority w:val="99"/>
    <w:unhideWhenUsed/>
    <w:rsid w:val="00335E68"/>
    <w:pPr>
      <w:tabs>
        <w:tab w:val="center" w:pos="4536"/>
        <w:tab w:val="right" w:pos="9072"/>
      </w:tabs>
    </w:pPr>
  </w:style>
  <w:style w:type="character" w:customStyle="1" w:styleId="lfejChar">
    <w:name w:val="Élőfej Char"/>
    <w:basedOn w:val="Bekezdsalapbettpusa"/>
    <w:link w:val="lfej"/>
    <w:uiPriority w:val="99"/>
    <w:rsid w:val="00335E68"/>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335E68"/>
    <w:pPr>
      <w:tabs>
        <w:tab w:val="center" w:pos="4536"/>
        <w:tab w:val="right" w:pos="9072"/>
      </w:tabs>
    </w:pPr>
  </w:style>
  <w:style w:type="character" w:customStyle="1" w:styleId="llbChar">
    <w:name w:val="Élőláb Char"/>
    <w:basedOn w:val="Bekezdsalapbettpusa"/>
    <w:link w:val="llb"/>
    <w:uiPriority w:val="99"/>
    <w:rsid w:val="00335E68"/>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335E68"/>
    <w:rPr>
      <w:color w:val="0563C1" w:themeColor="hyperlink"/>
      <w:u w:val="single"/>
    </w:rPr>
  </w:style>
  <w:style w:type="character" w:styleId="Feloldatlanmegemlts">
    <w:name w:val="Unresolved Mention"/>
    <w:basedOn w:val="Bekezdsalapbettpusa"/>
    <w:uiPriority w:val="99"/>
    <w:semiHidden/>
    <w:unhideWhenUsed/>
    <w:rsid w:val="00335E68"/>
    <w:rPr>
      <w:color w:val="605E5C"/>
      <w:shd w:val="clear" w:color="auto" w:fill="E1DFDD"/>
    </w:rPr>
  </w:style>
  <w:style w:type="character" w:customStyle="1" w:styleId="Cmsor1Char">
    <w:name w:val="Címsor 1 Char"/>
    <w:basedOn w:val="Bekezdsalapbettpusa"/>
    <w:link w:val="Cmsor1"/>
    <w:uiPriority w:val="9"/>
    <w:rsid w:val="003E3DC1"/>
    <w:rPr>
      <w:rFonts w:asciiTheme="majorHAnsi" w:eastAsiaTheme="majorEastAsia" w:hAnsiTheme="majorHAnsi" w:cstheme="majorBidi"/>
      <w:color w:val="2F5496" w:themeColor="accent1" w:themeShade="BF"/>
      <w:sz w:val="32"/>
      <w:szCs w:val="32"/>
      <w:lang w:eastAsia="hu-HU"/>
    </w:rPr>
  </w:style>
  <w:style w:type="character" w:styleId="Jegyzethivatkozs">
    <w:name w:val="annotation reference"/>
    <w:basedOn w:val="Bekezdsalapbettpusa"/>
    <w:uiPriority w:val="99"/>
    <w:semiHidden/>
    <w:unhideWhenUsed/>
    <w:rsid w:val="00203499"/>
    <w:rPr>
      <w:sz w:val="16"/>
      <w:szCs w:val="16"/>
    </w:rPr>
  </w:style>
  <w:style w:type="paragraph" w:styleId="Jegyzetszveg">
    <w:name w:val="annotation text"/>
    <w:basedOn w:val="Norml"/>
    <w:link w:val="JegyzetszvegChar"/>
    <w:uiPriority w:val="99"/>
    <w:semiHidden/>
    <w:unhideWhenUsed/>
    <w:rsid w:val="00203499"/>
    <w:rPr>
      <w:sz w:val="20"/>
      <w:szCs w:val="20"/>
    </w:rPr>
  </w:style>
  <w:style w:type="character" w:customStyle="1" w:styleId="JegyzetszvegChar">
    <w:name w:val="Jegyzetszöveg Char"/>
    <w:basedOn w:val="Bekezdsalapbettpusa"/>
    <w:link w:val="Jegyzetszveg"/>
    <w:uiPriority w:val="99"/>
    <w:semiHidden/>
    <w:rsid w:val="00203499"/>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203499"/>
    <w:rPr>
      <w:b/>
      <w:bCs/>
    </w:rPr>
  </w:style>
  <w:style w:type="character" w:customStyle="1" w:styleId="MegjegyzstrgyaChar">
    <w:name w:val="Megjegyzés tárgya Char"/>
    <w:basedOn w:val="JegyzetszvegChar"/>
    <w:link w:val="Megjegyzstrgya"/>
    <w:uiPriority w:val="99"/>
    <w:semiHidden/>
    <w:rsid w:val="00203499"/>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20349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03499"/>
    <w:rPr>
      <w:rFonts w:ascii="Segoe UI" w:eastAsia="Times New Roman" w:hAnsi="Segoe UI" w:cs="Segoe UI"/>
      <w:sz w:val="18"/>
      <w:szCs w:val="18"/>
      <w:lang w:eastAsia="hu-HU"/>
    </w:rPr>
  </w:style>
  <w:style w:type="paragraph" w:styleId="Vltozat">
    <w:name w:val="Revision"/>
    <w:hidden/>
    <w:uiPriority w:val="99"/>
    <w:semiHidden/>
    <w:rsid w:val="004032AA"/>
    <w:pPr>
      <w:spacing w:after="0"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rantiqa.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rantiqa.h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garantiqa.hu/adatkezelesi-tajekoztato/" TargetMode="External"/><Relationship Id="rId4" Type="http://schemas.openxmlformats.org/officeDocument/2006/relationships/webSettings" Target="webSettings.xml"/><Relationship Id="rId9" Type="http://schemas.openxmlformats.org/officeDocument/2006/relationships/hyperlink" Target="http://www.garantiqa.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715</Words>
  <Characters>4941</Characters>
  <Application>Microsoft Office Word</Application>
  <DocSecurity>0</DocSecurity>
  <Lines>41</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VinczeN</dc:creator>
  <cp:keywords/>
  <dc:description/>
  <cp:lastModifiedBy>Mazákné Márton Anikó Tünde</cp:lastModifiedBy>
  <cp:revision>4</cp:revision>
  <dcterms:created xsi:type="dcterms:W3CDTF">2025-12-10T14:07:00Z</dcterms:created>
  <dcterms:modified xsi:type="dcterms:W3CDTF">2026-03-02T15:07:00Z</dcterms:modified>
</cp:coreProperties>
</file>